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tbl>
      <w:tblPr>
        <w:tblW w:w="1420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6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Mandag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25.02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Tirsdag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26.02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Onsdag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27.02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Torsdag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28.02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Fredag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01.03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02.03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03.03</w:t>
            </w:r>
          </w:p>
        </w:tc>
      </w:tr>
      <w:tr>
        <w:tblPrEx>
          <w:shd w:val="clear" w:color="auto" w:fill="cadfff"/>
        </w:tblPrEx>
        <w:trPr>
          <w:trHeight w:val="31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1000-1130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Gutt/A lag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1000-1130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Gutt/A lag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1700-1800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0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Kn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tt/A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1700-1830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Kn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1800-1900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Kn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tt/Bandysk.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1800-1930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Gutt/A lag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1700-1830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Kn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ø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1800-1930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Gutt/A lag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 -Ullev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å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l 2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Rekrutt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2000-2200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SBK-Ullev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å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l 2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2000-2200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</w:r>
      <w:r>
        <w:rPr>
          <w:sz w:val="38"/>
          <w:szCs w:val="38"/>
          <w:rtl w:val="0"/>
        </w:rPr>
        <w:t>9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  <w:r>
        <w:rPr>
          <w:sz w:val="38"/>
          <w:szCs w:val="38"/>
          <w:rtl w:val="0"/>
          <w:lang w:val="da-DK"/>
        </w:rPr>
        <w:t xml:space="preserve"> </w:t>
      </w:r>
    </w:p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