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ackground w:color="FFFFFF"/>
  <w:body>
    <w:tbl>
      <w:tblPr>
        <w:tblW w:w="14207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1775"/>
        <w:gridCol w:w="1776"/>
        <w:gridCol w:w="1776"/>
        <w:gridCol w:w="1776"/>
        <w:gridCol w:w="1776"/>
        <w:gridCol w:w="1776"/>
        <w:gridCol w:w="1776"/>
        <w:gridCol w:w="1776"/>
      </w:tblGrid>
      <w:tr>
        <w:tblPrEx>
          <w:shd w:val="clear" w:color="auto" w:fill="cadfff"/>
        </w:tblPrEx>
        <w:trPr>
          <w:trHeight w:val="260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Tid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Mandag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18.02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Tirsdag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19.02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Onsdag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20.02</w:t>
            </w:r>
          </w:p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Torsdag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21.02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Fredag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22.02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L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rdag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23.02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4" w:space="0" w:shadow="0" w:frame="0"/>
              <w:right w:val="single" w:color="000000" w:sz="2" w:space="0" w:shadow="0" w:frame="0"/>
            </w:tcBorders>
            <w:shd w:val="clear" w:color="auto" w:fill="bdc0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S</w:t>
            </w:r>
            <w:r>
              <w:rPr>
                <w:rFonts w:ascii="Arial" w:hAnsi="Arial" w:hint="default"/>
                <w:b w:val="1"/>
                <w:bCs w:val="1"/>
                <w:sz w:val="22"/>
                <w:szCs w:val="22"/>
                <w:rtl w:val="0"/>
                <w:lang w:val="en-US"/>
              </w:rPr>
              <w:t>ø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 xml:space="preserve">ndag </w:t>
            </w: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24.02</w:t>
            </w:r>
          </w:p>
        </w:tc>
      </w:tr>
      <w:tr>
        <w:tblPrEx>
          <w:shd w:val="clear" w:color="auto" w:fill="cadfff"/>
        </w:tblPrEx>
        <w:trPr>
          <w:trHeight w:val="317" w:hRule="atLeast"/>
        </w:trPr>
        <w:tc>
          <w:tcPr>
            <w:tcW w:type="dxa" w:w="1775"/>
            <w:tcBorders>
              <w:top w:val="single" w:color="000000" w:sz="4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0800 - 1000</w:t>
            </w:r>
          </w:p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Preparering</w:t>
            </w:r>
          </w:p>
        </w:tc>
        <w:tc>
          <w:tcPr>
            <w:tcW w:type="dxa" w:w="17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718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1000 - 1100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1000-1130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Gutt/A lag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718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1100 - 1200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1000-1130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Gutt/A lag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493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1200 - 1300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493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1300 - 1400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493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1400 - 1500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305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1500 - 1600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305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1600 - 1700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493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1700 - 1800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e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Annen utleie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723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1800 - 1900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900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1900 - 2000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1900-2030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Gutt/A lag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1900-2030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Gutt/Rekrutt</w:t>
            </w:r>
          </w:p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1900-2030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A lag/Rekrutt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733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2000 - 2100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1900-2030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Gutt/A lag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1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900-2030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Gutt/Rekrut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11892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t</w:t>
            </w:r>
          </w:p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1900-2030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A lag/Rekrutt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600" w:hRule="atLeast"/>
        </w:trPr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2e4e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b w:val="1"/>
                <w:bCs w:val="1"/>
                <w:sz w:val="22"/>
                <w:szCs w:val="22"/>
                <w:rtl w:val="0"/>
                <w:lang w:val="en-US"/>
              </w:rPr>
              <w:t>2100 - 2200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 B"/>
            </w:pPr>
            <w:r>
              <w:rPr>
                <w:rFonts w:ascii="Arial" w:hAnsi="Arial"/>
                <w:sz w:val="22"/>
                <w:szCs w:val="22"/>
                <w:rtl w:val="0"/>
                <w:lang w:val="en-US"/>
              </w:rPr>
              <w:t>Annen utleie</w:t>
            </w:r>
          </w:p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rødtekst"/>
            </w:pPr>
            <w:r>
              <w:rPr>
                <w:rtl w:val="0"/>
                <w:lang w:val="en-US"/>
              </w:rPr>
              <w:t>Annen utleie</w:t>
            </w:r>
          </w:p>
        </w:tc>
        <w:tc>
          <w:tcPr>
            <w:tcW w:type="dxa" w:w="177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77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rødtekst A"/>
        <w:rPr>
          <w:sz w:val="38"/>
          <w:szCs w:val="38"/>
        </w:rPr>
      </w:pPr>
      <w:r>
        <w:rPr>
          <w:sz w:val="38"/>
          <w:szCs w:val="38"/>
          <w:rtl w:val="0"/>
        </w:rPr>
        <w:t xml:space="preserve">Uke nr </w:t>
        <w:tab/>
      </w:r>
      <w:r>
        <w:rPr>
          <w:sz w:val="38"/>
          <w:szCs w:val="38"/>
          <w:rtl w:val="0"/>
        </w:rPr>
        <w:t>8</w:t>
      </w:r>
      <w:r>
        <w:rPr>
          <w:sz w:val="38"/>
          <w:szCs w:val="38"/>
          <w:rtl w:val="0"/>
          <w:lang w:val="da-DK"/>
        </w:rPr>
        <w:tab/>
        <w:tab/>
        <w:tab/>
        <w:t>Ukeplan Sarpsborg Bandykubb</w:t>
      </w:r>
      <w:r>
        <w:rPr>
          <w:sz w:val="38"/>
          <w:szCs w:val="38"/>
          <w:rtl w:val="0"/>
          <w:lang w:val="da-DK"/>
        </w:rPr>
        <w:t xml:space="preserve"> </w:t>
      </w:r>
    </w:p>
    <w:p>
      <w:pPr>
        <w:pStyle w:val="Brødtekst A"/>
        <w:widowControl w:val="0"/>
        <w:ind w:left="324" w:hanging="324"/>
        <w:rPr>
          <w:sz w:val="38"/>
          <w:szCs w:val="38"/>
        </w:rPr>
      </w:pPr>
    </w:p>
    <w:p>
      <w:pPr>
        <w:pStyle w:val="Brødtekst A"/>
        <w:widowControl w:val="0"/>
        <w:ind w:left="216" w:hanging="216"/>
      </w:pPr>
      <w:r>
        <w:rPr>
          <w:sz w:val="38"/>
          <w:szCs w:val="38"/>
        </w:rPr>
      </w:r>
    </w:p>
    <w:sectPr>
      <w:headerReference w:type="default" r:id="rId4"/>
      <w:footerReference w:type="default" r:id="rId5"/>
      <w:pgSz w:w="18700" w:h="13220" w:orient="landscape"/>
      <w:pgMar w:top="1400" w:right="1400" w:bottom="1400" w:left="1400" w:header="874" w:footer="10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Topptekst og bunntekst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Topptekst og bunntekst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norsk bokmål" w:val="‘“(〔[{〈《「『【⦅〘〖«〝︵︷︹︻︽︿﹁﹃﹇﹙﹛﹝｢"/>
  <w:noLineBreaksBefore w:lang="norsk bokmå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Topptekst og bunntekst">
    <w:name w:val="Topptekst og bunntekst"/>
    <w:next w:val="Topptekst og bunntekst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rødtekst A">
    <w:name w:val="Brødtekst A"/>
    <w:next w:val="Brødtekst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</w:rPr>
  </w:style>
  <w:style w:type="paragraph" w:styleId="Brødtekst B">
    <w:name w:val="Brødtekst B"/>
    <w:next w:val="Brødtekst B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paragraph" w:styleId="Brødtekst">
    <w:name w:val="Brødtekst"/>
    <w:next w:val="Brødteks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Landscape">
  <a:themeElements>
    <a:clrScheme name="BlankLandscap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