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1C5" w:rsidRDefault="00AB01C5" w:rsidP="00AB01C5">
      <w:pPr>
        <w:spacing w:before="120" w:after="0" w:line="240" w:lineRule="auto"/>
        <w:ind w:left="0" w:right="6" w:firstLine="0"/>
      </w:pPr>
      <w:r>
        <w:t>Samfunnsmedisinsk enhet for Hamarregionen</w:t>
      </w:r>
    </w:p>
    <w:p w:rsidR="00AB01C5" w:rsidRDefault="00AB01C5" w:rsidP="00AB01C5">
      <w:pPr>
        <w:spacing w:before="120" w:after="0" w:line="240" w:lineRule="auto"/>
        <w:ind w:left="0" w:right="6" w:firstLine="0"/>
      </w:pPr>
      <w:r>
        <w:t>Pressemelding</w:t>
      </w:r>
    </w:p>
    <w:p w:rsidR="00AB01C5" w:rsidRDefault="00AB01C5" w:rsidP="00AB01C5">
      <w:pPr>
        <w:spacing w:before="120" w:after="0" w:line="240" w:lineRule="auto"/>
        <w:ind w:left="0" w:right="6" w:firstLine="0"/>
      </w:pPr>
      <w:r>
        <w:t>22. mai. 2021</w:t>
      </w:r>
    </w:p>
    <w:p w:rsidR="00AB01C5" w:rsidRDefault="00AB01C5" w:rsidP="00AB01C5">
      <w:pPr>
        <w:ind w:left="0" w:firstLine="0"/>
      </w:pPr>
      <w:r>
        <w:rPr>
          <w:b/>
          <w:bCs/>
          <w:sz w:val="28"/>
          <w:szCs w:val="28"/>
        </w:rPr>
        <w:t> </w:t>
      </w:r>
    </w:p>
    <w:p w:rsidR="00AB01C5" w:rsidRDefault="00AB01C5" w:rsidP="00AB01C5">
      <w:pPr>
        <w:ind w:left="0" w:firstLine="0"/>
      </w:pPr>
      <w:r>
        <w:rPr>
          <w:b/>
          <w:bCs/>
          <w:sz w:val="28"/>
          <w:szCs w:val="28"/>
        </w:rPr>
        <w:t>Setter inn særlig høyt tiltaksnivå</w:t>
      </w:r>
    </w:p>
    <w:p w:rsidR="00AB01C5" w:rsidRDefault="00AB01C5" w:rsidP="00AB01C5">
      <w:pPr>
        <w:ind w:left="0" w:firstLine="0"/>
      </w:pPr>
      <w:r>
        <w:rPr>
          <w:b/>
          <w:bCs/>
        </w:rPr>
        <w:t xml:space="preserve">Som følge av det pågående utbruddet i regionen har kommuneoverlegene og kommunenes kriseledelse i Stange, Hamar, Løten og Ringsaker besluttet å innføre smitteverntiltak på et særlig høyt tiltaksnivå. Tiltakene varer i første omgang fram til 1. juni. </w:t>
      </w:r>
    </w:p>
    <w:p w:rsidR="00AB01C5" w:rsidRDefault="00AB01C5" w:rsidP="00AB01C5">
      <w:pPr>
        <w:ind w:left="0" w:firstLine="0"/>
      </w:pPr>
      <w:r>
        <w:t xml:space="preserve">Tiltakene er i tråd med særlig høyt tiltaksnivå, regulert i Kapittel 5a i covid-19-forskriften </w:t>
      </w:r>
      <w:r>
        <w:rPr>
          <w:color w:val="auto"/>
        </w:rPr>
        <w:t>med noen tillegg,</w:t>
      </w:r>
      <w:r>
        <w:rPr>
          <w:color w:val="FF0000"/>
        </w:rPr>
        <w:t xml:space="preserve"> </w:t>
      </w:r>
      <w:r>
        <w:t xml:space="preserve">og innebærer nedstenging av en rekke virksomheter og aktiviteter i de berørte kommunene. </w:t>
      </w:r>
    </w:p>
    <w:p w:rsidR="00AB01C5" w:rsidRDefault="00AB01C5" w:rsidP="00AB01C5">
      <w:pPr>
        <w:ind w:left="0" w:firstLine="0"/>
      </w:pPr>
      <w:r>
        <w:t>– Vi ser at smittetallene har økt ytterligere siden i går, og den siste uken er det meldt om 80 smittede i regionen. S</w:t>
      </w:r>
      <w:r>
        <w:rPr>
          <w:color w:val="auto"/>
        </w:rPr>
        <w:t>mittesporing har avdekket at det er potensiale for ytterligere økning. Smittesporingsarbeidet er satt under enormt press, og vi har måttet øke kapasitet på både testing og sporing</w:t>
      </w:r>
      <w:r>
        <w:t>, sier kommuneoverlege Ketil Egge</w:t>
      </w:r>
    </w:p>
    <w:p w:rsidR="00AB01C5" w:rsidRDefault="00AB01C5" w:rsidP="00AB01C5">
      <w:pPr>
        <w:ind w:left="0" w:firstLine="0"/>
      </w:pPr>
      <w:r>
        <w:rPr>
          <w:b/>
          <w:bCs/>
        </w:rPr>
        <w:t>Max to personer på besøk i private hjem</w:t>
      </w:r>
      <w:r>
        <w:br/>
      </w:r>
      <w:r>
        <w:t>Tiltakene som innføres i dag, er inngripende for mange. Det blir forbud mot flere enn to personer i private hjem og nedstenging av en rekke områder innen både næring, fritidsaktiviteter og arrangementer. I tillegg innføres rødt nivå i skoler og barnehager i hele regionen.</w:t>
      </w:r>
    </w:p>
    <w:p w:rsidR="00AB01C5" w:rsidRDefault="00AB01C5" w:rsidP="00AB01C5">
      <w:pPr>
        <w:ind w:left="0" w:firstLine="0"/>
      </w:pPr>
      <w:r>
        <w:t xml:space="preserve">– Vi har en situasjon </w:t>
      </w:r>
      <w:r>
        <w:rPr>
          <w:color w:val="auto"/>
        </w:rPr>
        <w:t xml:space="preserve">med et høyt antall smittetilfeller og forventning om fortsatt høye tall. Det er </w:t>
      </w:r>
      <w:r>
        <w:t>derfor helt nødvendig å stramme inn på flere områder for å</w:t>
      </w:r>
      <w:r>
        <w:rPr>
          <w:color w:val="auto"/>
        </w:rPr>
        <w:t xml:space="preserve"> redusere videre </w:t>
      </w:r>
      <w:r>
        <w:t>smittespredning, sier Egge.</w:t>
      </w:r>
    </w:p>
    <w:p w:rsidR="00AB01C5" w:rsidRDefault="00AB01C5" w:rsidP="00AB01C5">
      <w:pPr>
        <w:ind w:left="0" w:firstLine="0"/>
      </w:pPr>
      <w:r>
        <w:rPr>
          <w:rFonts w:ascii="Arial" w:hAnsi="Arial" w:cs="Arial"/>
          <w:b/>
          <w:bCs/>
        </w:rPr>
        <w:t> </w:t>
      </w:r>
    </w:p>
    <w:p w:rsidR="00AB01C5" w:rsidRDefault="00AB01C5" w:rsidP="00AB01C5">
      <w:pPr>
        <w:ind w:left="0" w:firstLine="0"/>
      </w:pPr>
      <w:r>
        <w:rPr>
          <w:rFonts w:ascii="Arial" w:hAnsi="Arial" w:cs="Arial"/>
          <w:b/>
          <w:bCs/>
          <w:sz w:val="28"/>
          <w:szCs w:val="28"/>
        </w:rPr>
        <w:t>Følgende tiltak innføres med umiddelbar virkning</w:t>
      </w:r>
    </w:p>
    <w:p w:rsidR="00AB01C5" w:rsidRDefault="00AB01C5" w:rsidP="00AB01C5">
      <w:r>
        <w:rPr>
          <w:rFonts w:ascii="Arial" w:hAnsi="Arial" w:cs="Arial"/>
          <w:b/>
          <w:bCs/>
        </w:rPr>
        <w:t>Stenging av virksomheter:</w:t>
      </w:r>
    </w:p>
    <w:tbl>
      <w:tblPr>
        <w:tblW w:w="9214" w:type="dxa"/>
        <w:tblCellMar>
          <w:left w:w="0" w:type="dxa"/>
          <w:right w:w="0" w:type="dxa"/>
        </w:tblCellMar>
        <w:tblLook w:val="04A0" w:firstRow="1" w:lastRow="0" w:firstColumn="1" w:lastColumn="0" w:noHBand="0" w:noVBand="1"/>
      </w:tblPr>
      <w:tblGrid>
        <w:gridCol w:w="660"/>
        <w:gridCol w:w="8554"/>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a.</w:t>
            </w:r>
          </w:p>
        </w:tc>
        <w:tc>
          <w:tcPr>
            <w:tcW w:w="8554" w:type="dxa"/>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 xml:space="preserve">Serveringssteder, som restauranter, kafeer, barer og puber, og utested, som diskotek, nattklubber og lignende. Serveringssteder kan likevel holde åpent for å selge mat og </w:t>
            </w:r>
            <w:r>
              <w:rPr>
                <w:rFonts w:ascii="Arial" w:hAnsi="Arial" w:cs="Arial"/>
                <w:color w:val="333333"/>
                <w:lang w:eastAsia="en-US"/>
              </w:rPr>
              <w:lastRenderedPageBreak/>
              <w:t>ikke-alkoholholdig drikke som ikke skal nytes på stedet. Serveringssteder på hoteller kan servere mat til overnattende gjester.</w:t>
            </w:r>
          </w:p>
        </w:tc>
      </w:tr>
    </w:tbl>
    <w:p w:rsidR="00AB01C5" w:rsidRDefault="00AB01C5" w:rsidP="00AB01C5">
      <w:pPr>
        <w:shd w:val="clear" w:color="auto" w:fill="FFFFFF"/>
        <w:spacing w:after="150" w:line="240" w:lineRule="auto"/>
      </w:pPr>
      <w:r>
        <w:rPr>
          <w:rFonts w:ascii="Arial" w:hAnsi="Arial" w:cs="Arial"/>
          <w:color w:val="333333"/>
        </w:rPr>
        <w:lastRenderedPageBreak/>
        <w:t> </w:t>
      </w:r>
    </w:p>
    <w:tbl>
      <w:tblPr>
        <w:tblW w:w="13410" w:type="dxa"/>
        <w:tblCellMar>
          <w:left w:w="0" w:type="dxa"/>
          <w:right w:w="0" w:type="dxa"/>
        </w:tblCellMar>
        <w:tblLook w:val="04A0" w:firstRow="1" w:lastRow="0" w:firstColumn="1" w:lastColumn="0" w:noHBand="0" w:noVBand="1"/>
      </w:tblPr>
      <w:tblGrid>
        <w:gridCol w:w="660"/>
        <w:gridCol w:w="12750"/>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b.</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Butikker, men følgende butikker kan holde åpent:</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1335"/>
        <w:gridCol w:w="12075"/>
      </w:tblGrid>
      <w:tr w:rsidR="00AB01C5" w:rsidTr="00AB01C5">
        <w:tc>
          <w:tcPr>
            <w:tcW w:w="1335"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1.</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matbutikker, inkludert kiosker, helsekost og andre som i hovedsak selger matvarer</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1335"/>
        <w:gridCol w:w="12075"/>
      </w:tblGrid>
      <w:tr w:rsidR="00AB01C5" w:rsidTr="00AB01C5">
        <w:tc>
          <w:tcPr>
            <w:tcW w:w="1335"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2.</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utsalgssteder for dyrefôr og andre nødvendighetsartikler for kjæledyr og husdyr</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1335"/>
        <w:gridCol w:w="12075"/>
      </w:tblGrid>
      <w:tr w:rsidR="00AB01C5" w:rsidTr="00AB01C5">
        <w:tc>
          <w:tcPr>
            <w:tcW w:w="1335"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3.</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apotek</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1335"/>
        <w:gridCol w:w="12075"/>
      </w:tblGrid>
      <w:tr w:rsidR="00AB01C5" w:rsidTr="00AB01C5">
        <w:tc>
          <w:tcPr>
            <w:tcW w:w="1335"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4.</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bandasjister</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1335"/>
        <w:gridCol w:w="12075"/>
      </w:tblGrid>
      <w:tr w:rsidR="00AB01C5" w:rsidTr="00AB01C5">
        <w:tc>
          <w:tcPr>
            <w:tcW w:w="1335"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5.</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optikere</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1335"/>
        <w:gridCol w:w="12075"/>
      </w:tblGrid>
      <w:tr w:rsidR="00AB01C5" w:rsidTr="00AB01C5">
        <w:tc>
          <w:tcPr>
            <w:tcW w:w="1335"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6.</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vinmonopol</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1335"/>
        <w:gridCol w:w="12075"/>
      </w:tblGrid>
      <w:tr w:rsidR="00AB01C5" w:rsidTr="00AB01C5">
        <w:tc>
          <w:tcPr>
            <w:tcW w:w="1335"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7.</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bensinstasjoner</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1335"/>
        <w:gridCol w:w="12075"/>
      </w:tblGrid>
      <w:tr w:rsidR="00AB01C5" w:rsidTr="00AB01C5">
        <w:tc>
          <w:tcPr>
            <w:tcW w:w="1335"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8.</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salgsvirksomhet til landbruk og dyreproduksjon</w:t>
            </w:r>
          </w:p>
        </w:tc>
      </w:tr>
    </w:tbl>
    <w:p w:rsidR="00AB01C5" w:rsidRDefault="00AB01C5" w:rsidP="00AB01C5">
      <w:pPr>
        <w:shd w:val="clear" w:color="auto" w:fill="FFFFFF"/>
        <w:spacing w:after="150" w:line="240" w:lineRule="auto"/>
      </w:pPr>
      <w:r>
        <w:rPr>
          <w:rFonts w:ascii="Arial" w:hAnsi="Arial" w:cs="Arial"/>
          <w:color w:val="333333"/>
        </w:rPr>
        <w:t> </w:t>
      </w:r>
    </w:p>
    <w:tbl>
      <w:tblPr>
        <w:tblW w:w="9498" w:type="dxa"/>
        <w:tblCellMar>
          <w:left w:w="0" w:type="dxa"/>
          <w:right w:w="0" w:type="dxa"/>
        </w:tblCellMar>
        <w:tblLook w:val="04A0" w:firstRow="1" w:lastRow="0" w:firstColumn="1" w:lastColumn="0" w:noHBand="0" w:noVBand="1"/>
      </w:tblPr>
      <w:tblGrid>
        <w:gridCol w:w="1335"/>
        <w:gridCol w:w="8163"/>
      </w:tblGrid>
      <w:tr w:rsidR="00AB01C5" w:rsidTr="00AB01C5">
        <w:tc>
          <w:tcPr>
            <w:tcW w:w="1335"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9.</w:t>
            </w:r>
          </w:p>
        </w:tc>
        <w:tc>
          <w:tcPr>
            <w:tcW w:w="8163" w:type="dxa"/>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lager- og grossistdelen i byggevareforretninger som selger til håndverksvirksomhet og lignende.</w:t>
            </w:r>
          </w:p>
        </w:tc>
      </w:tr>
    </w:tbl>
    <w:p w:rsidR="00AB01C5" w:rsidRDefault="00AB01C5" w:rsidP="00AB01C5">
      <w:pPr>
        <w:shd w:val="clear" w:color="auto" w:fill="FFFFFF"/>
        <w:spacing w:after="150" w:line="240" w:lineRule="auto"/>
      </w:pPr>
      <w:r>
        <w:rPr>
          <w:rFonts w:ascii="Arial" w:hAnsi="Arial" w:cs="Arial"/>
          <w:color w:val="333333"/>
        </w:rPr>
        <w:t> </w:t>
      </w:r>
    </w:p>
    <w:tbl>
      <w:tblPr>
        <w:tblW w:w="9498" w:type="dxa"/>
        <w:tblCellMar>
          <w:left w:w="0" w:type="dxa"/>
          <w:right w:w="0" w:type="dxa"/>
        </w:tblCellMar>
        <w:tblLook w:val="04A0" w:firstRow="1" w:lastRow="0" w:firstColumn="1" w:lastColumn="0" w:noHBand="0" w:noVBand="1"/>
      </w:tblPr>
      <w:tblGrid>
        <w:gridCol w:w="1335"/>
        <w:gridCol w:w="8163"/>
      </w:tblGrid>
      <w:tr w:rsidR="00AB01C5" w:rsidTr="00AB01C5">
        <w:tc>
          <w:tcPr>
            <w:tcW w:w="1335"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10.</w:t>
            </w:r>
          </w:p>
        </w:tc>
        <w:tc>
          <w:tcPr>
            <w:tcW w:w="8163" w:type="dxa"/>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 xml:space="preserve">Blomsterbutikker med fast utsalgssted som er registrert i Enhetsregisteret som butikkhandel med blomster og planter, et salgsareal som ikke overstiger 250 kvm, en omsetning som i all hovedsak består av salg av blomster med svært kort </w:t>
            </w:r>
            <w:r>
              <w:rPr>
                <w:rFonts w:ascii="Arial" w:hAnsi="Arial" w:cs="Arial"/>
                <w:color w:val="333333"/>
                <w:lang w:eastAsia="en-US"/>
              </w:rPr>
              <w:lastRenderedPageBreak/>
              <w:t>holdbarhet og hvor disse blomstertypene utgjør det vesentligste innslaget i varesortimentet.</w:t>
            </w:r>
          </w:p>
        </w:tc>
      </w:tr>
    </w:tbl>
    <w:p w:rsidR="00AB01C5" w:rsidRDefault="00AB01C5" w:rsidP="00AB01C5">
      <w:pPr>
        <w:shd w:val="clear" w:color="auto" w:fill="FFFFFF"/>
        <w:spacing w:after="150" w:line="240" w:lineRule="auto"/>
      </w:pPr>
      <w:r>
        <w:rPr>
          <w:rFonts w:ascii="Arial" w:hAnsi="Arial" w:cs="Arial"/>
          <w:color w:val="333333"/>
        </w:rPr>
        <w:lastRenderedPageBreak/>
        <w:t> </w:t>
      </w:r>
    </w:p>
    <w:tbl>
      <w:tblPr>
        <w:tblW w:w="13410" w:type="dxa"/>
        <w:tblCellMar>
          <w:left w:w="0" w:type="dxa"/>
          <w:right w:w="0" w:type="dxa"/>
        </w:tblCellMar>
        <w:tblLook w:val="04A0" w:firstRow="1" w:lastRow="0" w:firstColumn="1" w:lastColumn="0" w:noHBand="0" w:noVBand="1"/>
      </w:tblPr>
      <w:tblGrid>
        <w:gridCol w:w="660"/>
        <w:gridCol w:w="12750"/>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c.</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Varehus, med unntak av arealer med vare- og tjenestetilbud som nevnt i bokstav b.</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660"/>
        <w:gridCol w:w="12750"/>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d.</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Treningssentre.</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660"/>
        <w:gridCol w:w="12750"/>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e.</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Svømmehaller, badeland, spaanlegg, hotellbasseng og lignende.</w:t>
            </w:r>
          </w:p>
        </w:tc>
      </w:tr>
    </w:tbl>
    <w:p w:rsidR="00AB01C5" w:rsidRDefault="00AB01C5" w:rsidP="00AB01C5">
      <w:pPr>
        <w:shd w:val="clear" w:color="auto" w:fill="FFFFFF"/>
        <w:spacing w:after="150" w:line="240" w:lineRule="auto"/>
      </w:pPr>
      <w:r>
        <w:rPr>
          <w:rFonts w:ascii="Arial" w:hAnsi="Arial" w:cs="Arial"/>
          <w:color w:val="333333"/>
        </w:rPr>
        <w:t> </w:t>
      </w:r>
    </w:p>
    <w:tbl>
      <w:tblPr>
        <w:tblW w:w="9498" w:type="dxa"/>
        <w:tblCellMar>
          <w:left w:w="0" w:type="dxa"/>
          <w:right w:w="0" w:type="dxa"/>
        </w:tblCellMar>
        <w:tblLook w:val="04A0" w:firstRow="1" w:lastRow="0" w:firstColumn="1" w:lastColumn="0" w:noHBand="0" w:noVBand="1"/>
      </w:tblPr>
      <w:tblGrid>
        <w:gridCol w:w="660"/>
        <w:gridCol w:w="8838"/>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f.</w:t>
            </w:r>
          </w:p>
        </w:tc>
        <w:tc>
          <w:tcPr>
            <w:tcW w:w="8838" w:type="dxa"/>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Tros- og livssynshus, med unntak ved begravelser, bisettelser, vielser, dåp og ved samtaler mellom representant for tros- og livssynsamfunn og enkeltpersoner.</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660"/>
        <w:gridCol w:w="12750"/>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g.</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Biblioteker.</w:t>
            </w:r>
          </w:p>
        </w:tc>
      </w:tr>
    </w:tbl>
    <w:p w:rsidR="00AB01C5" w:rsidRDefault="00AB01C5" w:rsidP="00AB01C5">
      <w:pPr>
        <w:shd w:val="clear" w:color="auto" w:fill="FFFFFF"/>
        <w:spacing w:after="150" w:line="240" w:lineRule="auto"/>
        <w:ind w:left="0" w:firstLine="0"/>
      </w:pPr>
    </w:p>
    <w:tbl>
      <w:tblPr>
        <w:tblW w:w="13410" w:type="dxa"/>
        <w:tblCellMar>
          <w:left w:w="0" w:type="dxa"/>
          <w:right w:w="0" w:type="dxa"/>
        </w:tblCellMar>
        <w:tblLook w:val="04A0" w:firstRow="1" w:lastRow="0" w:firstColumn="1" w:lastColumn="0" w:noHBand="0" w:noVBand="1"/>
      </w:tblPr>
      <w:tblGrid>
        <w:gridCol w:w="660"/>
        <w:gridCol w:w="12750"/>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bookmarkStart w:id="0" w:name="_GoBack"/>
            <w:bookmarkEnd w:id="0"/>
            <w:r>
              <w:rPr>
                <w:rFonts w:ascii="Arial" w:hAnsi="Arial" w:cs="Arial"/>
                <w:color w:val="333333"/>
                <w:lang w:eastAsia="en-US"/>
              </w:rPr>
              <w:t>h.</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Fornøyelsesparker, bingohaller, spillehaller, lekeland, bowlinghaller og tilsvarende steder.</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660"/>
        <w:gridCol w:w="12750"/>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i.</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Museer.</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660"/>
        <w:gridCol w:w="12750"/>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j.</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Kino, teater, konsertsteder og tilsvarende kultur- og underholdningssteder.</w:t>
            </w:r>
          </w:p>
        </w:tc>
      </w:tr>
    </w:tbl>
    <w:p w:rsidR="00AB01C5" w:rsidRDefault="00AB01C5" w:rsidP="00AB01C5">
      <w:pPr>
        <w:shd w:val="clear" w:color="auto" w:fill="FFFFFF"/>
        <w:spacing w:after="150" w:line="240" w:lineRule="auto"/>
      </w:pPr>
      <w:r>
        <w:rPr>
          <w:rFonts w:ascii="Arial" w:hAnsi="Arial" w:cs="Arial"/>
          <w:color w:val="333333"/>
        </w:rPr>
        <w:t> </w:t>
      </w:r>
    </w:p>
    <w:tbl>
      <w:tblPr>
        <w:tblW w:w="9781" w:type="dxa"/>
        <w:tblCellMar>
          <w:left w:w="0" w:type="dxa"/>
          <w:right w:w="0" w:type="dxa"/>
        </w:tblCellMar>
        <w:tblLook w:val="04A0" w:firstRow="1" w:lastRow="0" w:firstColumn="1" w:lastColumn="0" w:noHBand="0" w:noVBand="1"/>
      </w:tblPr>
      <w:tblGrid>
        <w:gridCol w:w="660"/>
        <w:gridCol w:w="9121"/>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k.</w:t>
            </w:r>
          </w:p>
        </w:tc>
        <w:tc>
          <w:tcPr>
            <w:tcW w:w="9121" w:type="dxa"/>
            <w:tcMar>
              <w:top w:w="0" w:type="dxa"/>
              <w:left w:w="30" w:type="dxa"/>
              <w:bottom w:w="0" w:type="dxa"/>
              <w:right w:w="30" w:type="dxa"/>
            </w:tcMar>
            <w:hideMark/>
          </w:tcPr>
          <w:p w:rsidR="00AB01C5" w:rsidRDefault="00AB01C5">
            <w:pPr>
              <w:spacing w:after="0" w:line="240" w:lineRule="auto"/>
              <w:rPr>
                <w:rFonts w:ascii="Arial" w:hAnsi="Arial" w:cs="Arial"/>
                <w:color w:val="333333"/>
                <w:lang w:eastAsia="en-US"/>
              </w:rPr>
            </w:pPr>
            <w:r>
              <w:rPr>
                <w:rFonts w:ascii="Arial" w:hAnsi="Arial" w:cs="Arial"/>
                <w:color w:val="333333"/>
                <w:lang w:eastAsia="en-US"/>
              </w:rPr>
              <w:t>Andre offentlige steder og virksomheter der det foregår kultur-, underholdnings- eller fritidsaktiviteter som samler mennesker innendørs.</w:t>
            </w:r>
          </w:p>
          <w:p w:rsidR="00AB01C5" w:rsidRDefault="00AB01C5">
            <w:pPr>
              <w:spacing w:after="0" w:line="240" w:lineRule="auto"/>
            </w:pPr>
          </w:p>
        </w:tc>
      </w:tr>
    </w:tbl>
    <w:p w:rsidR="00AB01C5" w:rsidRDefault="00AB01C5" w:rsidP="00AB01C5">
      <w:pPr>
        <w:shd w:val="clear" w:color="auto" w:fill="FFFFFF"/>
        <w:spacing w:before="225" w:after="0" w:line="240" w:lineRule="auto"/>
      </w:pPr>
      <w:r>
        <w:rPr>
          <w:rFonts w:ascii="Arial" w:hAnsi="Arial" w:cs="Arial"/>
          <w:color w:val="333333"/>
        </w:rPr>
        <w:t>Butikker og varehus kan holde åpent for avhenting av forhåndsbetalte bestilte varer når det er etablert smittevernfaglig forsvarlige løsninger for utlevering av varene.</w:t>
      </w:r>
    </w:p>
    <w:p w:rsidR="00AB01C5" w:rsidRDefault="00AB01C5" w:rsidP="00AB01C5">
      <w:pPr>
        <w:shd w:val="clear" w:color="auto" w:fill="FFFFFF"/>
        <w:spacing w:before="225" w:after="150" w:line="240" w:lineRule="auto"/>
        <w:rPr>
          <w:rFonts w:ascii="Arial" w:hAnsi="Arial" w:cs="Arial"/>
          <w:color w:val="333333"/>
        </w:rPr>
      </w:pPr>
      <w:r>
        <w:rPr>
          <w:rFonts w:ascii="Arial" w:hAnsi="Arial" w:cs="Arial"/>
          <w:color w:val="333333"/>
        </w:rPr>
        <w:t xml:space="preserve">Offentlige steder og virksomheter der det foregår organiserte kultur-, idretts- og fritidsaktiviteter kan holde åpent for personer omfattet </w:t>
      </w:r>
      <w:r>
        <w:rPr>
          <w:rFonts w:ascii="Arial" w:hAnsi="Arial" w:cs="Arial"/>
        </w:rPr>
        <w:t>av denne lokale forskriftens § 6</w:t>
      </w:r>
      <w:r>
        <w:rPr>
          <w:rFonts w:ascii="Arial" w:hAnsi="Arial" w:cs="Arial"/>
          <w:color w:val="333333"/>
        </w:rPr>
        <w:t>.</w:t>
      </w:r>
      <w:bookmarkStart w:id="1" w:name="§16c"/>
      <w:bookmarkStart w:id="2" w:name="PARAGRAF_16c"/>
      <w:bookmarkEnd w:id="1"/>
      <w:bookmarkEnd w:id="2"/>
    </w:p>
    <w:p w:rsidR="00AB01C5" w:rsidRDefault="00AB01C5" w:rsidP="00AB01C5">
      <w:pPr>
        <w:shd w:val="clear" w:color="auto" w:fill="FFFFFF"/>
        <w:spacing w:before="225" w:after="150" w:line="240" w:lineRule="auto"/>
      </w:pPr>
    </w:p>
    <w:p w:rsidR="00AB01C5" w:rsidRDefault="00AB01C5" w:rsidP="00AB01C5">
      <w:pPr>
        <w:shd w:val="clear" w:color="auto" w:fill="FFFFFF"/>
        <w:spacing w:before="225"/>
      </w:pPr>
      <w:r>
        <w:rPr>
          <w:rFonts w:ascii="Arial" w:hAnsi="Arial" w:cs="Arial"/>
          <w:color w:val="333333"/>
        </w:rPr>
        <w:lastRenderedPageBreak/>
        <w:t>Videre skal følgende virksomheter og steder holde stengt:</w:t>
      </w:r>
    </w:p>
    <w:p w:rsidR="00AB01C5" w:rsidRDefault="00AB01C5" w:rsidP="00AB01C5">
      <w:pPr>
        <w:pStyle w:val="Listeavsnitt"/>
        <w:numPr>
          <w:ilvl w:val="0"/>
          <w:numId w:val="1"/>
        </w:numPr>
        <w:spacing w:after="0" w:line="240" w:lineRule="auto"/>
      </w:pPr>
      <w:r>
        <w:rPr>
          <w:rFonts w:ascii="Arial" w:hAnsi="Arial" w:cs="Arial"/>
          <w:color w:val="333333"/>
        </w:rPr>
        <w:t xml:space="preserve">En-til-en-tjenester som ikke er helsetjenester, herunder: </w:t>
      </w:r>
    </w:p>
    <w:p w:rsidR="00AB01C5" w:rsidRDefault="00AB01C5" w:rsidP="00AB01C5">
      <w:pPr>
        <w:pStyle w:val="Listeavsnitt"/>
        <w:numPr>
          <w:ilvl w:val="0"/>
          <w:numId w:val="2"/>
        </w:numPr>
        <w:spacing w:after="0" w:line="240" w:lineRule="auto"/>
      </w:pPr>
      <w:r>
        <w:rPr>
          <w:rFonts w:ascii="Arial" w:hAnsi="Arial" w:cs="Arial"/>
          <w:color w:val="333333"/>
        </w:rPr>
        <w:t>Frisører/barbershops</w:t>
      </w:r>
    </w:p>
    <w:p w:rsidR="00AB01C5" w:rsidRDefault="00AB01C5" w:rsidP="00AB01C5">
      <w:pPr>
        <w:pStyle w:val="Listeavsnitt"/>
        <w:numPr>
          <w:ilvl w:val="0"/>
          <w:numId w:val="2"/>
        </w:numPr>
        <w:spacing w:after="0" w:line="240" w:lineRule="auto"/>
      </w:pPr>
      <w:r>
        <w:rPr>
          <w:rFonts w:ascii="Arial" w:hAnsi="Arial" w:cs="Arial"/>
          <w:color w:val="333333"/>
        </w:rPr>
        <w:t>Hudpleievirksomhet og lignende, herunder behandling av hud/negler, solarier, hårfjerning, massasje</w:t>
      </w:r>
    </w:p>
    <w:p w:rsidR="00AB01C5" w:rsidRDefault="00AB01C5" w:rsidP="00AB01C5">
      <w:pPr>
        <w:pStyle w:val="Listeavsnitt"/>
        <w:numPr>
          <w:ilvl w:val="0"/>
          <w:numId w:val="2"/>
        </w:numPr>
        <w:spacing w:after="0" w:line="240" w:lineRule="auto"/>
      </w:pPr>
      <w:r>
        <w:rPr>
          <w:rFonts w:ascii="Arial" w:hAnsi="Arial" w:cs="Arial"/>
          <w:color w:val="333333"/>
        </w:rPr>
        <w:t>Tatoverings- og hulltakingsvirksomhet</w:t>
      </w:r>
    </w:p>
    <w:p w:rsidR="00AB01C5" w:rsidRDefault="00AB01C5" w:rsidP="00AB01C5">
      <w:pPr>
        <w:pStyle w:val="Listeavsnitt"/>
        <w:spacing w:after="0" w:line="240" w:lineRule="auto"/>
        <w:ind w:left="1068" w:firstLine="0"/>
      </w:pPr>
      <w:r>
        <w:rPr>
          <w:rFonts w:ascii="Arial" w:hAnsi="Arial" w:cs="Arial"/>
          <w:color w:val="333333"/>
        </w:rPr>
        <w:t> </w:t>
      </w:r>
    </w:p>
    <w:p w:rsidR="00AB01C5" w:rsidRDefault="00AB01C5" w:rsidP="00AB01C5">
      <w:pPr>
        <w:pStyle w:val="Listeavsnitt"/>
        <w:numPr>
          <w:ilvl w:val="0"/>
          <w:numId w:val="1"/>
        </w:numPr>
        <w:spacing w:after="0" w:line="240" w:lineRule="auto"/>
      </w:pPr>
      <w:r>
        <w:rPr>
          <w:rFonts w:ascii="Arial" w:hAnsi="Arial" w:cs="Arial"/>
          <w:color w:val="333333"/>
        </w:rPr>
        <w:t xml:space="preserve">Følgende helsefaglige en-til-en-virksomheter som fysioterapeuter, kiropraktorer, fotterapeuter mv. skal holde stengt. Likevel kan følgende tilbys: </w:t>
      </w:r>
    </w:p>
    <w:p w:rsidR="00AB01C5" w:rsidRDefault="00AB01C5" w:rsidP="00AB01C5">
      <w:pPr>
        <w:pStyle w:val="Listeavsnitt"/>
        <w:numPr>
          <w:ilvl w:val="0"/>
          <w:numId w:val="2"/>
        </w:numPr>
        <w:spacing w:after="0" w:line="240" w:lineRule="auto"/>
      </w:pPr>
      <w:r>
        <w:rPr>
          <w:rFonts w:ascii="Arial" w:hAnsi="Arial" w:cs="Arial"/>
          <w:color w:val="333333"/>
        </w:rPr>
        <w:t>Nødvendig behandling eller opptrening etter skader, kirurgi eller annen sykdomstilstand</w:t>
      </w:r>
    </w:p>
    <w:p w:rsidR="00AB01C5" w:rsidRDefault="00AB01C5" w:rsidP="00AB01C5">
      <w:pPr>
        <w:pStyle w:val="Listeavsnitt"/>
        <w:numPr>
          <w:ilvl w:val="0"/>
          <w:numId w:val="2"/>
        </w:numPr>
        <w:spacing w:after="0" w:line="240" w:lineRule="auto"/>
      </w:pPr>
      <w:r>
        <w:rPr>
          <w:rFonts w:ascii="Arial" w:hAnsi="Arial" w:cs="Arial"/>
          <w:color w:val="333333"/>
        </w:rPr>
        <w:t>Nødvendig behandling av smertetilstander</w:t>
      </w:r>
    </w:p>
    <w:p w:rsidR="00AB01C5" w:rsidRDefault="00AB01C5" w:rsidP="00AB01C5">
      <w:pPr>
        <w:spacing w:after="0" w:line="240" w:lineRule="auto"/>
      </w:pPr>
      <w:r>
        <w:rPr>
          <w:rFonts w:ascii="Arial" w:hAnsi="Arial" w:cs="Arial"/>
          <w:color w:val="333333"/>
        </w:rPr>
        <w:t xml:space="preserve">Det er helsepersonellet selv som beslutter hva som er nødvendig behandling, i samsvar med bestemmelsene om forsvarlig helsehjelp, jfr pasient og brukerrettighetsloven § 2-1 a). </w:t>
      </w:r>
    </w:p>
    <w:p w:rsidR="00AB01C5" w:rsidRDefault="00AB01C5" w:rsidP="00AB01C5">
      <w:pPr>
        <w:shd w:val="clear" w:color="auto" w:fill="FFFFFF"/>
        <w:spacing w:before="150" w:after="150" w:line="240" w:lineRule="auto"/>
      </w:pPr>
      <w:r>
        <w:rPr>
          <w:rFonts w:ascii="Arial" w:hAnsi="Arial" w:cs="Arial"/>
          <w:b/>
          <w:bCs/>
          <w:color w:val="333333"/>
        </w:rPr>
        <w:t> </w:t>
      </w:r>
    </w:p>
    <w:p w:rsidR="00AB01C5" w:rsidRDefault="00AB01C5" w:rsidP="00AB01C5">
      <w:pPr>
        <w:shd w:val="clear" w:color="auto" w:fill="FFFFFF"/>
        <w:spacing w:before="150" w:after="150" w:line="240" w:lineRule="auto"/>
      </w:pPr>
      <w:r>
        <w:rPr>
          <w:rFonts w:ascii="Arial" w:hAnsi="Arial" w:cs="Arial"/>
          <w:b/>
          <w:bCs/>
          <w:color w:val="333333"/>
        </w:rPr>
        <w:t>Forbud mot arrangementer</w:t>
      </w:r>
      <w:r>
        <w:br/>
      </w:r>
      <w:r>
        <w:rPr>
          <w:rFonts w:ascii="Arial" w:hAnsi="Arial" w:cs="Arial"/>
          <w:color w:val="333333"/>
        </w:rPr>
        <w:t>Det er ikke tillatt å gjennomføre arrangementer, med unntak av:</w:t>
      </w:r>
    </w:p>
    <w:tbl>
      <w:tblPr>
        <w:tblW w:w="13410" w:type="dxa"/>
        <w:tblCellMar>
          <w:left w:w="0" w:type="dxa"/>
          <w:right w:w="0" w:type="dxa"/>
        </w:tblCellMar>
        <w:tblLook w:val="04A0" w:firstRow="1" w:lastRow="0" w:firstColumn="1" w:lastColumn="0" w:noHBand="0" w:noVBand="1"/>
      </w:tblPr>
      <w:tblGrid>
        <w:gridCol w:w="660"/>
        <w:gridCol w:w="12750"/>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a.</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Begravelser, bisettelser og seremonier ved grav med inntil 30 personer til stede.</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660"/>
        <w:gridCol w:w="12750"/>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b.</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Vielser med kun brudeparet, vigsler og to vitner til stede.</w:t>
            </w:r>
          </w:p>
        </w:tc>
      </w:tr>
    </w:tbl>
    <w:p w:rsidR="00AB01C5" w:rsidRDefault="00AB01C5" w:rsidP="00AB01C5">
      <w:pPr>
        <w:shd w:val="clear" w:color="auto" w:fill="FFFFFF"/>
        <w:spacing w:after="150" w:line="240" w:lineRule="auto"/>
      </w:pPr>
      <w:r>
        <w:rPr>
          <w:rFonts w:ascii="Arial" w:hAnsi="Arial" w:cs="Arial"/>
          <w:color w:val="333333"/>
        </w:rPr>
        <w:t> </w:t>
      </w:r>
    </w:p>
    <w:tbl>
      <w:tblPr>
        <w:tblW w:w="13410" w:type="dxa"/>
        <w:tblCellMar>
          <w:left w:w="0" w:type="dxa"/>
          <w:right w:w="0" w:type="dxa"/>
        </w:tblCellMar>
        <w:tblLook w:val="04A0" w:firstRow="1" w:lastRow="0" w:firstColumn="1" w:lastColumn="0" w:noHBand="0" w:noVBand="1"/>
      </w:tblPr>
      <w:tblGrid>
        <w:gridCol w:w="660"/>
        <w:gridCol w:w="12750"/>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c.</w:t>
            </w:r>
          </w:p>
        </w:tc>
        <w:tc>
          <w:tcPr>
            <w:tcW w:w="0" w:type="auto"/>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Dåp med kun barnet, foreldrene, prest og inntil to faddere til stede.</w:t>
            </w:r>
          </w:p>
        </w:tc>
      </w:tr>
    </w:tbl>
    <w:p w:rsidR="00AB01C5" w:rsidRDefault="00AB01C5" w:rsidP="00AB01C5">
      <w:pPr>
        <w:shd w:val="clear" w:color="auto" w:fill="FFFFFF"/>
        <w:spacing w:after="150" w:line="240" w:lineRule="auto"/>
      </w:pPr>
      <w:r>
        <w:rPr>
          <w:rFonts w:ascii="Arial" w:hAnsi="Arial" w:cs="Arial"/>
          <w:color w:val="333333"/>
        </w:rPr>
        <w:t> </w:t>
      </w:r>
    </w:p>
    <w:tbl>
      <w:tblPr>
        <w:tblW w:w="9356" w:type="dxa"/>
        <w:tblCellMar>
          <w:left w:w="0" w:type="dxa"/>
          <w:right w:w="0" w:type="dxa"/>
        </w:tblCellMar>
        <w:tblLook w:val="04A0" w:firstRow="1" w:lastRow="0" w:firstColumn="1" w:lastColumn="0" w:noHBand="0" w:noVBand="1"/>
      </w:tblPr>
      <w:tblGrid>
        <w:gridCol w:w="660"/>
        <w:gridCol w:w="8696"/>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d.</w:t>
            </w:r>
          </w:p>
        </w:tc>
        <w:tc>
          <w:tcPr>
            <w:tcW w:w="8696" w:type="dxa"/>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Digitale arrangementer med maksimalt fem personer til stede, i tillegg til utøvere og annet nødvendig produksjonspersonell.</w:t>
            </w:r>
          </w:p>
        </w:tc>
      </w:tr>
    </w:tbl>
    <w:p w:rsidR="00AB01C5" w:rsidRDefault="00AB01C5" w:rsidP="00AB01C5">
      <w:pPr>
        <w:shd w:val="clear" w:color="auto" w:fill="FFFFFF"/>
        <w:spacing w:after="150" w:line="240" w:lineRule="auto"/>
      </w:pPr>
      <w:r>
        <w:rPr>
          <w:rFonts w:ascii="Arial" w:hAnsi="Arial" w:cs="Arial"/>
          <w:color w:val="333333"/>
        </w:rPr>
        <w:t> </w:t>
      </w:r>
    </w:p>
    <w:tbl>
      <w:tblPr>
        <w:tblW w:w="9356" w:type="dxa"/>
        <w:tblCellMar>
          <w:left w:w="0" w:type="dxa"/>
          <w:right w:w="0" w:type="dxa"/>
        </w:tblCellMar>
        <w:tblLook w:val="04A0" w:firstRow="1" w:lastRow="0" w:firstColumn="1" w:lastColumn="0" w:noHBand="0" w:noVBand="1"/>
      </w:tblPr>
      <w:tblGrid>
        <w:gridCol w:w="660"/>
        <w:gridCol w:w="8696"/>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e.</w:t>
            </w:r>
          </w:p>
        </w:tc>
        <w:tc>
          <w:tcPr>
            <w:tcW w:w="8696" w:type="dxa"/>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Utendørs treningskamper og seriekamper i fotballens to øverste divisjoner for kvinner og menn, uten publikum til stede.</w:t>
            </w:r>
          </w:p>
        </w:tc>
      </w:tr>
    </w:tbl>
    <w:p w:rsidR="00AB01C5" w:rsidRDefault="00AB01C5" w:rsidP="00AB01C5">
      <w:pPr>
        <w:shd w:val="clear" w:color="auto" w:fill="FFFFFF"/>
        <w:spacing w:after="150" w:line="240" w:lineRule="auto"/>
      </w:pPr>
      <w:r>
        <w:rPr>
          <w:rFonts w:ascii="Arial" w:hAnsi="Arial" w:cs="Arial"/>
          <w:color w:val="333333"/>
        </w:rPr>
        <w:t> </w:t>
      </w:r>
    </w:p>
    <w:tbl>
      <w:tblPr>
        <w:tblW w:w="9356" w:type="dxa"/>
        <w:tblCellMar>
          <w:left w:w="0" w:type="dxa"/>
          <w:right w:w="0" w:type="dxa"/>
        </w:tblCellMar>
        <w:tblLook w:val="04A0" w:firstRow="1" w:lastRow="0" w:firstColumn="1" w:lastColumn="0" w:noHBand="0" w:noVBand="1"/>
      </w:tblPr>
      <w:tblGrid>
        <w:gridCol w:w="660"/>
        <w:gridCol w:w="8696"/>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f.</w:t>
            </w:r>
          </w:p>
        </w:tc>
        <w:tc>
          <w:tcPr>
            <w:tcW w:w="8696" w:type="dxa"/>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Serie- og NM-finale i topphåndballen for kvinner, opp- og nedrykkskvalifiseringsspill til REMA 1000-ligaen for menn, samt nødvendige treningskamper som forberedelse til dette, uten publikum til stede.</w:t>
            </w:r>
          </w:p>
        </w:tc>
      </w:tr>
    </w:tbl>
    <w:p w:rsidR="00AB01C5" w:rsidRDefault="00AB01C5" w:rsidP="00AB01C5">
      <w:pPr>
        <w:shd w:val="clear" w:color="auto" w:fill="FFFFFF"/>
        <w:spacing w:after="150" w:line="240" w:lineRule="auto"/>
        <w:rPr>
          <w:rFonts w:ascii="Arial" w:hAnsi="Arial" w:cs="Arial"/>
          <w:color w:val="333333"/>
        </w:rPr>
      </w:pPr>
      <w:r>
        <w:rPr>
          <w:rFonts w:ascii="Arial" w:hAnsi="Arial" w:cs="Arial"/>
          <w:color w:val="333333"/>
        </w:rPr>
        <w:t> </w:t>
      </w:r>
    </w:p>
    <w:p w:rsidR="00AB01C5" w:rsidRDefault="00AB01C5" w:rsidP="00AB01C5">
      <w:pPr>
        <w:shd w:val="clear" w:color="auto" w:fill="FFFFFF"/>
        <w:spacing w:after="150" w:line="240" w:lineRule="auto"/>
        <w:rPr>
          <w:rFonts w:ascii="Arial" w:hAnsi="Arial" w:cs="Arial"/>
          <w:color w:val="333333"/>
        </w:rPr>
      </w:pPr>
    </w:p>
    <w:p w:rsidR="00AB01C5" w:rsidRDefault="00AB01C5" w:rsidP="00AB01C5">
      <w:pPr>
        <w:shd w:val="clear" w:color="auto" w:fill="FFFFFF"/>
        <w:spacing w:after="150" w:line="240" w:lineRule="auto"/>
      </w:pPr>
    </w:p>
    <w:p w:rsidR="00AB01C5" w:rsidRDefault="00AB01C5" w:rsidP="00AB01C5">
      <w:pPr>
        <w:shd w:val="clear" w:color="auto" w:fill="FFFFFF"/>
        <w:spacing w:before="150" w:after="150" w:line="240" w:lineRule="auto"/>
      </w:pPr>
      <w:bookmarkStart w:id="3" w:name="§16d"/>
      <w:bookmarkStart w:id="4" w:name="PARAGRAF_16d"/>
      <w:bookmarkEnd w:id="3"/>
      <w:bookmarkEnd w:id="4"/>
      <w:r>
        <w:rPr>
          <w:rFonts w:ascii="Arial" w:hAnsi="Arial" w:cs="Arial"/>
          <w:b/>
          <w:bCs/>
          <w:color w:val="333333"/>
        </w:rPr>
        <w:t>Påbud om hjemmekontor</w:t>
      </w:r>
      <w:r>
        <w:br/>
      </w:r>
      <w:r>
        <w:rPr>
          <w:rFonts w:ascii="Arial" w:hAnsi="Arial" w:cs="Arial"/>
          <w:color w:val="333333"/>
        </w:rPr>
        <w:t>Arbeidsgivere skal sørge for at ansatte jobber hjemmefra så langt det er praktisk mulig. Arbeidsgivere skal kunne dokumentere at det er gitt beskjed til de ansatte om hvordan dette skal gjennomføres i virksomheten.</w:t>
      </w:r>
    </w:p>
    <w:p w:rsidR="00AB01C5" w:rsidRDefault="00AB01C5" w:rsidP="00AB01C5">
      <w:pPr>
        <w:shd w:val="clear" w:color="auto" w:fill="FFFFFF"/>
        <w:spacing w:before="150" w:after="150" w:line="240" w:lineRule="auto"/>
      </w:pPr>
      <w:bookmarkStart w:id="5" w:name="§16e"/>
      <w:bookmarkStart w:id="6" w:name="PARAGRAF_16e"/>
      <w:bookmarkEnd w:id="5"/>
      <w:bookmarkEnd w:id="6"/>
      <w:r>
        <w:rPr>
          <w:rFonts w:ascii="Arial" w:hAnsi="Arial" w:cs="Arial"/>
          <w:b/>
          <w:bCs/>
          <w:color w:val="333333"/>
        </w:rPr>
        <w:t> </w:t>
      </w:r>
    </w:p>
    <w:p w:rsidR="00AB01C5" w:rsidRDefault="00AB01C5" w:rsidP="00AB01C5">
      <w:pPr>
        <w:shd w:val="clear" w:color="auto" w:fill="FFFFFF"/>
        <w:spacing w:before="150" w:after="150" w:line="240" w:lineRule="auto"/>
      </w:pPr>
      <w:r>
        <w:rPr>
          <w:rFonts w:ascii="Arial" w:hAnsi="Arial" w:cs="Arial"/>
          <w:b/>
          <w:bCs/>
          <w:color w:val="333333"/>
        </w:rPr>
        <w:t>Skjenkestopp</w:t>
      </w:r>
      <w:r>
        <w:rPr>
          <w:rFonts w:ascii="Arial" w:hAnsi="Arial" w:cs="Arial"/>
          <w:b/>
          <w:bCs/>
          <w:color w:val="333333"/>
        </w:rPr>
        <w:br/>
      </w:r>
      <w:r>
        <w:rPr>
          <w:rFonts w:ascii="Arial" w:hAnsi="Arial" w:cs="Arial"/>
          <w:color w:val="333333"/>
        </w:rPr>
        <w:t>Serveringssteder som har skjenkebevilling etter </w:t>
      </w:r>
      <w:r>
        <w:rPr>
          <w:rFonts w:ascii="Arial" w:hAnsi="Arial" w:cs="Arial"/>
        </w:rPr>
        <w:t>alkoholloven kapittel 4 og </w:t>
      </w:r>
      <w:hyperlink r:id="rId5" w:history="1">
        <w:r>
          <w:rPr>
            <w:rStyle w:val="Hyperkobling"/>
            <w:rFonts w:ascii="Arial" w:hAnsi="Arial" w:cs="Arial"/>
            <w:color w:val="000000"/>
          </w:rPr>
          <w:t>5</w:t>
        </w:r>
      </w:hyperlink>
      <w:r>
        <w:rPr>
          <w:rFonts w:ascii="Arial" w:hAnsi="Arial" w:cs="Arial"/>
        </w:rPr>
        <w:t> </w:t>
      </w:r>
      <w:r>
        <w:rPr>
          <w:rFonts w:ascii="Arial" w:hAnsi="Arial" w:cs="Arial"/>
          <w:color w:val="333333"/>
        </w:rPr>
        <w:t>skal ikke utøve skjenkebevillingen.</w:t>
      </w:r>
    </w:p>
    <w:p w:rsidR="00AB01C5" w:rsidRDefault="00AB01C5" w:rsidP="00AB01C5">
      <w:pPr>
        <w:shd w:val="clear" w:color="auto" w:fill="FFFFFF"/>
        <w:spacing w:before="150" w:after="150" w:line="240" w:lineRule="auto"/>
        <w:ind w:left="0" w:firstLine="0"/>
      </w:pPr>
      <w:bookmarkStart w:id="7" w:name="§16f"/>
      <w:bookmarkStart w:id="8" w:name="PARAGRAF_16f"/>
      <w:bookmarkEnd w:id="7"/>
      <w:bookmarkEnd w:id="8"/>
      <w:r>
        <w:rPr>
          <w:rFonts w:ascii="Arial" w:hAnsi="Arial" w:cs="Arial"/>
          <w:b/>
          <w:bCs/>
          <w:color w:val="333333"/>
        </w:rPr>
        <w:t> </w:t>
      </w:r>
    </w:p>
    <w:p w:rsidR="00AB01C5" w:rsidRDefault="00AB01C5" w:rsidP="00AB01C5">
      <w:pPr>
        <w:shd w:val="clear" w:color="auto" w:fill="FFFFFF"/>
        <w:spacing w:before="150" w:after="150" w:line="240" w:lineRule="auto"/>
        <w:ind w:left="0" w:firstLine="0"/>
      </w:pPr>
      <w:r>
        <w:rPr>
          <w:rFonts w:ascii="Arial" w:hAnsi="Arial" w:cs="Arial"/>
          <w:b/>
          <w:bCs/>
          <w:color w:val="333333"/>
        </w:rPr>
        <w:t>Opplærings- og utdanningsinstitusjoner</w:t>
      </w:r>
      <w:r>
        <w:br/>
      </w:r>
      <w:r>
        <w:rPr>
          <w:rFonts w:ascii="Arial" w:hAnsi="Arial" w:cs="Arial"/>
          <w:color w:val="333333"/>
        </w:rPr>
        <w:t>Universiteter, høyskoler og fagskoler skal holde sine lokaler stengt for elever og studenter, slik at undervisningen skjer digitalt. Tilsvarende gjelder lokaler som benyttes ved kursaktivitet under studieforbund og Kompetanse pluss.</w:t>
      </w:r>
    </w:p>
    <w:p w:rsidR="00AB01C5" w:rsidRDefault="00AB01C5" w:rsidP="00AB01C5">
      <w:pPr>
        <w:shd w:val="clear" w:color="auto" w:fill="FFFFFF"/>
        <w:spacing w:before="225" w:after="0" w:line="240" w:lineRule="auto"/>
      </w:pPr>
      <w:r>
        <w:rPr>
          <w:rFonts w:ascii="Arial" w:hAnsi="Arial" w:cs="Arial"/>
          <w:color w:val="333333"/>
        </w:rPr>
        <w:t>Universiteter, høyskoler og fagskoler kan gjøre unntak fra kravet i første ledd, dersom tilgang til lokalene er avgjørende for studenter som er avhengig av forsøk eller ferdighetstrening som ikke kan gjennomføres digitalt, det er nødvendig for å opprettholde progresjonen i studiet og studentene testes jevnlig for covid-19 i samsvar med råd fra smittevernmyndigheten i kommunen.</w:t>
      </w:r>
    </w:p>
    <w:p w:rsidR="00AB01C5" w:rsidRDefault="00AB01C5" w:rsidP="00AB01C5">
      <w:pPr>
        <w:shd w:val="clear" w:color="auto" w:fill="FFFFFF"/>
        <w:spacing w:before="225" w:after="150" w:line="240" w:lineRule="auto"/>
      </w:pPr>
      <w:r>
        <w:rPr>
          <w:rFonts w:ascii="Arial" w:hAnsi="Arial" w:cs="Arial"/>
          <w:color w:val="333333"/>
        </w:rPr>
        <w:t>Biblioteker og lesesaler ved universiteter, høgskoler og fagskoler kan holde åpent for studenter som testes jevnlig for covid-19 i samsvar med råd fra smittevernmyndigheten i kommunen.</w:t>
      </w:r>
    </w:p>
    <w:p w:rsidR="00AB01C5" w:rsidRDefault="00AB01C5" w:rsidP="00AB01C5">
      <w:pPr>
        <w:shd w:val="clear" w:color="auto" w:fill="FFFFFF"/>
        <w:spacing w:before="150" w:after="150" w:line="240" w:lineRule="auto"/>
      </w:pPr>
      <w:bookmarkStart w:id="9" w:name="§16g"/>
      <w:bookmarkStart w:id="10" w:name="PARAGRAF_16g"/>
      <w:bookmarkEnd w:id="9"/>
      <w:bookmarkEnd w:id="10"/>
      <w:r>
        <w:rPr>
          <w:rFonts w:ascii="Arial" w:hAnsi="Arial" w:cs="Arial"/>
          <w:b/>
          <w:bCs/>
          <w:color w:val="333333"/>
        </w:rPr>
        <w:br/>
        <w:t>Stans av idretts- og fritidsaktiviteter</w:t>
      </w:r>
      <w:r>
        <w:br/>
      </w:r>
      <w:r>
        <w:rPr>
          <w:rFonts w:ascii="Arial" w:hAnsi="Arial" w:cs="Arial"/>
          <w:color w:val="333333"/>
        </w:rPr>
        <w:t>Det er ikke tillatt å organisere idrettsaktivitet for voksne eller barn. Det samme gjelder fritidsaktiviteter som organiserte øvelser, trening og prøver for kor, korps og teater.</w:t>
      </w:r>
    </w:p>
    <w:p w:rsidR="00AB01C5" w:rsidRDefault="00AB01C5" w:rsidP="00AB01C5">
      <w:pPr>
        <w:shd w:val="clear" w:color="auto" w:fill="FFFFFF"/>
        <w:spacing w:before="225" w:after="150" w:line="240" w:lineRule="auto"/>
        <w:ind w:firstLine="490"/>
      </w:pPr>
      <w:r>
        <w:rPr>
          <w:rFonts w:ascii="Arial" w:hAnsi="Arial" w:cs="Arial"/>
          <w:color w:val="333333"/>
        </w:rPr>
        <w:t>Forbudet etter første ledd gjelder ikke:</w:t>
      </w:r>
    </w:p>
    <w:tbl>
      <w:tblPr>
        <w:tblW w:w="9356" w:type="dxa"/>
        <w:tblCellMar>
          <w:left w:w="0" w:type="dxa"/>
          <w:right w:w="0" w:type="dxa"/>
        </w:tblCellMar>
        <w:tblLook w:val="04A0" w:firstRow="1" w:lastRow="0" w:firstColumn="1" w:lastColumn="0" w:noHBand="0" w:noVBand="1"/>
      </w:tblPr>
      <w:tblGrid>
        <w:gridCol w:w="660"/>
        <w:gridCol w:w="8696"/>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a.</w:t>
            </w:r>
          </w:p>
        </w:tc>
        <w:tc>
          <w:tcPr>
            <w:tcW w:w="8696" w:type="dxa"/>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organisert idrettsaktivitet og fritidsaktivitet for barn og unge under 20 år som gjennomføres utendørs, så lenge dette skjer i grupper på inntil 10 personer og alle deltakerne kommer fra samme kommune.</w:t>
            </w:r>
          </w:p>
        </w:tc>
      </w:tr>
    </w:tbl>
    <w:p w:rsidR="00AB01C5" w:rsidRDefault="00AB01C5" w:rsidP="00AB01C5">
      <w:pPr>
        <w:shd w:val="clear" w:color="auto" w:fill="FFFFFF"/>
        <w:spacing w:after="150" w:line="240" w:lineRule="auto"/>
        <w:ind w:left="0" w:firstLine="0"/>
      </w:pPr>
    </w:p>
    <w:tbl>
      <w:tblPr>
        <w:tblW w:w="9214" w:type="dxa"/>
        <w:tblCellMar>
          <w:left w:w="0" w:type="dxa"/>
          <w:right w:w="0" w:type="dxa"/>
        </w:tblCellMar>
        <w:tblLook w:val="04A0" w:firstRow="1" w:lastRow="0" w:firstColumn="1" w:lastColumn="0" w:noHBand="0" w:noVBand="1"/>
      </w:tblPr>
      <w:tblGrid>
        <w:gridCol w:w="660"/>
        <w:gridCol w:w="8554"/>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b.</w:t>
            </w:r>
          </w:p>
        </w:tc>
        <w:tc>
          <w:tcPr>
            <w:tcW w:w="8554" w:type="dxa"/>
            <w:tcMar>
              <w:top w:w="0" w:type="dxa"/>
              <w:left w:w="30" w:type="dxa"/>
              <w:bottom w:w="0" w:type="dxa"/>
              <w:right w:w="30" w:type="dxa"/>
            </w:tcMar>
            <w:hideMark/>
          </w:tcPr>
          <w:p w:rsidR="00AB01C5" w:rsidRDefault="00AB01C5">
            <w:pPr>
              <w:spacing w:after="0" w:line="240" w:lineRule="auto"/>
            </w:pPr>
            <w:r>
              <w:rPr>
                <w:rFonts w:ascii="Arial" w:hAnsi="Arial" w:cs="Arial"/>
                <w:color w:val="333333"/>
                <w:lang w:eastAsia="en-US"/>
              </w:rPr>
              <w:t>organisert idrettsaktivitet og fritidsaktivitet for personer med rusproblemer eller alvorlig psykisk sykdom, så lenge dette gjennomføres utendørs, skjer i grupper på inntil 5 personer og alle deltakerne kommer fra samme kommune.</w:t>
            </w:r>
          </w:p>
        </w:tc>
      </w:tr>
    </w:tbl>
    <w:p w:rsidR="00AB01C5" w:rsidRDefault="00AB01C5" w:rsidP="00AB01C5">
      <w:pPr>
        <w:shd w:val="clear" w:color="auto" w:fill="FFFFFF"/>
        <w:spacing w:after="150" w:line="240" w:lineRule="auto"/>
      </w:pPr>
      <w:r>
        <w:rPr>
          <w:rFonts w:ascii="Arial" w:hAnsi="Arial" w:cs="Arial"/>
          <w:color w:val="333333"/>
        </w:rPr>
        <w:t> </w:t>
      </w:r>
    </w:p>
    <w:tbl>
      <w:tblPr>
        <w:tblW w:w="9498" w:type="dxa"/>
        <w:tblCellMar>
          <w:left w:w="0" w:type="dxa"/>
          <w:right w:w="0" w:type="dxa"/>
        </w:tblCellMar>
        <w:tblLook w:val="04A0" w:firstRow="1" w:lastRow="0" w:firstColumn="1" w:lastColumn="0" w:noHBand="0" w:noVBand="1"/>
      </w:tblPr>
      <w:tblGrid>
        <w:gridCol w:w="660"/>
        <w:gridCol w:w="8838"/>
      </w:tblGrid>
      <w:tr w:rsidR="00AB01C5" w:rsidTr="00AB01C5">
        <w:tc>
          <w:tcPr>
            <w:tcW w:w="660" w:type="dxa"/>
            <w:noWrap/>
            <w:tcMar>
              <w:top w:w="0" w:type="dxa"/>
              <w:left w:w="30" w:type="dxa"/>
              <w:bottom w:w="0" w:type="dxa"/>
              <w:right w:w="30" w:type="dxa"/>
            </w:tcMar>
            <w:hideMark/>
          </w:tcPr>
          <w:p w:rsidR="00AB01C5" w:rsidRDefault="00AB01C5">
            <w:pPr>
              <w:spacing w:after="0" w:line="240" w:lineRule="auto"/>
              <w:jc w:val="right"/>
            </w:pPr>
            <w:r>
              <w:rPr>
                <w:rFonts w:ascii="Arial" w:hAnsi="Arial" w:cs="Arial"/>
                <w:color w:val="333333"/>
                <w:lang w:eastAsia="en-US"/>
              </w:rPr>
              <w:t>c.</w:t>
            </w:r>
          </w:p>
        </w:tc>
        <w:tc>
          <w:tcPr>
            <w:tcW w:w="8838" w:type="dxa"/>
            <w:tcMar>
              <w:top w:w="0" w:type="dxa"/>
              <w:left w:w="30" w:type="dxa"/>
              <w:bottom w:w="0" w:type="dxa"/>
              <w:right w:w="30" w:type="dxa"/>
            </w:tcMar>
            <w:hideMark/>
          </w:tcPr>
          <w:p w:rsidR="00AB01C5" w:rsidRDefault="00AB01C5">
            <w:pPr>
              <w:spacing w:after="0" w:line="240" w:lineRule="auto"/>
              <w:rPr>
                <w:rFonts w:ascii="Arial" w:hAnsi="Arial" w:cs="Arial"/>
                <w:color w:val="333333"/>
                <w:lang w:eastAsia="en-US"/>
              </w:rPr>
            </w:pPr>
            <w:r>
              <w:rPr>
                <w:rFonts w:ascii="Arial" w:hAnsi="Arial" w:cs="Arial"/>
                <w:color w:val="333333"/>
                <w:lang w:eastAsia="en-US"/>
              </w:rPr>
              <w:t>organisert trening for toppidrettsutøvere. Innenfor fotball er unntaket begrenset til de to øverste divisjonene for kvinner og menn.</w:t>
            </w:r>
          </w:p>
          <w:p w:rsidR="00AB01C5" w:rsidRDefault="00AB01C5">
            <w:pPr>
              <w:spacing w:after="0" w:line="240" w:lineRule="auto"/>
            </w:pPr>
          </w:p>
        </w:tc>
      </w:tr>
    </w:tbl>
    <w:p w:rsidR="00AB01C5" w:rsidRDefault="00AB01C5" w:rsidP="00AB01C5">
      <w:pPr>
        <w:shd w:val="clear" w:color="auto" w:fill="FFFFFF"/>
        <w:spacing w:before="150" w:after="150" w:line="240" w:lineRule="auto"/>
      </w:pPr>
      <w:bookmarkStart w:id="11" w:name="§16h"/>
      <w:bookmarkStart w:id="12" w:name="PARAGRAF_16h"/>
      <w:bookmarkEnd w:id="11"/>
      <w:bookmarkEnd w:id="12"/>
      <w:r>
        <w:rPr>
          <w:rFonts w:ascii="Apple Color Emoji" w:hAnsi="Apple Color Emoji"/>
          <w:color w:val="999999"/>
          <w:u w:val="single"/>
        </w:rPr>
        <w:lastRenderedPageBreak/>
        <w:br/>
      </w:r>
      <w:r>
        <w:rPr>
          <w:rFonts w:ascii="Arial" w:hAnsi="Arial" w:cs="Arial"/>
          <w:b/>
          <w:bCs/>
          <w:color w:val="333333"/>
        </w:rPr>
        <w:t>Plikt til å bruke munnbind</w:t>
      </w:r>
      <w:r>
        <w:br/>
      </w:r>
      <w:r>
        <w:rPr>
          <w:rFonts w:ascii="Arial" w:hAnsi="Arial" w:cs="Arial"/>
          <w:color w:val="333333"/>
        </w:rPr>
        <w:t>Når det ikke er mulig å holde minst én meters avstand, ut over kortvarige passeringer til andre enn husstandsmedlemmer, skal det brukes munnbind i butikker, i fellesarealene på kjøpesentre, på serveringssteder, i tros- og livssynshus, på kollektivtransport og innendørs stasjonsområder, og i lokaler for kultur-, sports- og fritidsaktiviteter.</w:t>
      </w:r>
    </w:p>
    <w:p w:rsidR="00AB01C5" w:rsidRDefault="00AB01C5" w:rsidP="00AB01C5">
      <w:pPr>
        <w:shd w:val="clear" w:color="auto" w:fill="FFFFFF"/>
        <w:spacing w:before="225" w:after="0" w:line="240" w:lineRule="auto"/>
      </w:pPr>
      <w:r>
        <w:rPr>
          <w:rFonts w:ascii="Arial" w:hAnsi="Arial" w:cs="Arial"/>
          <w:color w:val="333333"/>
        </w:rPr>
        <w:t>Passasjerer skal bruke munnbind i taxi. Munnbindet skal tas på før passasjeren setter seg inn i taxien, og skal ikke tas av før reisen er avsluttet og passasjeren har gått ut av taxien. Plikten til å bruke munnbind gjelder tilsvarende for sjåfør når det er passasjer i taxien.</w:t>
      </w:r>
    </w:p>
    <w:p w:rsidR="00AB01C5" w:rsidRDefault="00AB01C5" w:rsidP="00AB01C5">
      <w:pPr>
        <w:shd w:val="clear" w:color="auto" w:fill="FFFFFF"/>
        <w:spacing w:before="225" w:after="0" w:line="240" w:lineRule="auto"/>
      </w:pPr>
      <w:r>
        <w:rPr>
          <w:rFonts w:ascii="Arial" w:hAnsi="Arial" w:cs="Arial"/>
          <w:color w:val="333333"/>
        </w:rPr>
        <w:t>Plikten til å bruke munnbind i første ledd gjelder tilsvarende for ansatte på steder hvor det ikke er mulig å holde minst én meters avstand fra besøkende. Dette gjelder ikke ansatte på steder hvor det er iverksatt andre smitteverntiltak for de ansatte som bruk av skillevegger o.l. i henhold til Folkehelseinstituttets anbefalinger.</w:t>
      </w:r>
    </w:p>
    <w:p w:rsidR="00AB01C5" w:rsidRDefault="00AB01C5" w:rsidP="00AB01C5">
      <w:pPr>
        <w:shd w:val="clear" w:color="auto" w:fill="FFFFFF"/>
        <w:spacing w:before="225" w:after="240" w:line="240" w:lineRule="auto"/>
      </w:pPr>
      <w:r>
        <w:rPr>
          <w:rFonts w:ascii="Arial" w:hAnsi="Arial" w:cs="Arial"/>
          <w:color w:val="333333"/>
        </w:rPr>
        <w:t>Plikten til å bruke munnbind gjelder ikke for barn under 12 år, eller for de som av medisinske eller andre årsaker ikke kan bruke munnbind.</w:t>
      </w:r>
      <w:r>
        <w:br/>
      </w:r>
    </w:p>
    <w:p w:rsidR="00AB01C5" w:rsidRDefault="00AB01C5" w:rsidP="00AB01C5">
      <w:pPr>
        <w:shd w:val="clear" w:color="auto" w:fill="FFFFFF"/>
        <w:spacing w:before="225" w:after="240" w:line="240" w:lineRule="auto"/>
      </w:pPr>
      <w:r>
        <w:rPr>
          <w:rFonts w:ascii="Arial" w:hAnsi="Arial" w:cs="Arial"/>
          <w:b/>
          <w:bCs/>
          <w:color w:val="333333"/>
        </w:rPr>
        <w:t>Besøk i private hjem</w:t>
      </w:r>
      <w:r>
        <w:br/>
      </w:r>
      <w:r>
        <w:rPr>
          <w:rFonts w:ascii="Arial" w:hAnsi="Arial" w:cs="Arial"/>
          <w:color w:val="333333"/>
        </w:rPr>
        <w:t>Det er ikke tillatt med mer enn 2 personer på besøk i privat hjem, hage, hytte mv. Beskyttede (fullvaksinerte, personer som har mottatt sin første dose for mer enn 3 uker siden og de som har gjennomgått covid-19 siste 6 måneder) kan behandles som husstandsmedlemmer, og trenger derfor ikke telles som besøkende.</w:t>
      </w:r>
    </w:p>
    <w:p w:rsidR="00AB01C5" w:rsidRDefault="00AB01C5" w:rsidP="00AB01C5">
      <w:r>
        <w:rPr>
          <w:rFonts w:ascii="Arial" w:hAnsi="Arial" w:cs="Arial"/>
          <w:b/>
          <w:bCs/>
          <w:sz w:val="20"/>
          <w:szCs w:val="20"/>
        </w:rPr>
        <w:t> </w:t>
      </w:r>
    </w:p>
    <w:p w:rsidR="00AB01C5" w:rsidRDefault="00AB01C5" w:rsidP="00AB01C5">
      <w:pPr>
        <w:ind w:left="0" w:firstLine="0"/>
      </w:pPr>
      <w:r>
        <w:rPr>
          <w:rFonts w:ascii="Arial" w:hAnsi="Arial" w:cs="Arial"/>
          <w:sz w:val="20"/>
          <w:szCs w:val="20"/>
        </w:rPr>
        <w:t> </w:t>
      </w:r>
    </w:p>
    <w:p w:rsidR="00AA16C1" w:rsidRDefault="00AA16C1"/>
    <w:sectPr w:rsidR="00AA16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 Color Emoj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06636"/>
    <w:multiLevelType w:val="hybridMultilevel"/>
    <w:tmpl w:val="D050331A"/>
    <w:lvl w:ilvl="0" w:tplc="EC1CA58E">
      <w:numFmt w:val="bullet"/>
      <w:lvlText w:val="-"/>
      <w:lvlJc w:val="left"/>
      <w:pPr>
        <w:ind w:left="1068" w:hanging="360"/>
      </w:pPr>
      <w:rPr>
        <w:rFonts w:ascii="Arial" w:eastAsia="Times New Roman" w:hAnsi="Arial" w:cs="Arial"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start w:val="1"/>
      <w:numFmt w:val="bullet"/>
      <w:lvlText w:val=""/>
      <w:lvlJc w:val="left"/>
      <w:pPr>
        <w:ind w:left="3228" w:hanging="360"/>
      </w:pPr>
      <w:rPr>
        <w:rFonts w:ascii="Symbol" w:hAnsi="Symbol" w:hint="default"/>
      </w:rPr>
    </w:lvl>
    <w:lvl w:ilvl="4" w:tplc="04140003">
      <w:start w:val="1"/>
      <w:numFmt w:val="bullet"/>
      <w:lvlText w:val="o"/>
      <w:lvlJc w:val="left"/>
      <w:pPr>
        <w:ind w:left="3948" w:hanging="360"/>
      </w:pPr>
      <w:rPr>
        <w:rFonts w:ascii="Courier New" w:hAnsi="Courier New" w:cs="Courier New" w:hint="default"/>
      </w:rPr>
    </w:lvl>
    <w:lvl w:ilvl="5" w:tplc="04140005">
      <w:start w:val="1"/>
      <w:numFmt w:val="bullet"/>
      <w:lvlText w:val=""/>
      <w:lvlJc w:val="left"/>
      <w:pPr>
        <w:ind w:left="4668" w:hanging="360"/>
      </w:pPr>
      <w:rPr>
        <w:rFonts w:ascii="Wingdings" w:hAnsi="Wingdings" w:hint="default"/>
      </w:rPr>
    </w:lvl>
    <w:lvl w:ilvl="6" w:tplc="04140001">
      <w:start w:val="1"/>
      <w:numFmt w:val="bullet"/>
      <w:lvlText w:val=""/>
      <w:lvlJc w:val="left"/>
      <w:pPr>
        <w:ind w:left="5388" w:hanging="360"/>
      </w:pPr>
      <w:rPr>
        <w:rFonts w:ascii="Symbol" w:hAnsi="Symbol" w:hint="default"/>
      </w:rPr>
    </w:lvl>
    <w:lvl w:ilvl="7" w:tplc="04140003">
      <w:start w:val="1"/>
      <w:numFmt w:val="bullet"/>
      <w:lvlText w:val="o"/>
      <w:lvlJc w:val="left"/>
      <w:pPr>
        <w:ind w:left="6108" w:hanging="360"/>
      </w:pPr>
      <w:rPr>
        <w:rFonts w:ascii="Courier New" w:hAnsi="Courier New" w:cs="Courier New" w:hint="default"/>
      </w:rPr>
    </w:lvl>
    <w:lvl w:ilvl="8" w:tplc="04140005">
      <w:start w:val="1"/>
      <w:numFmt w:val="bullet"/>
      <w:lvlText w:val=""/>
      <w:lvlJc w:val="left"/>
      <w:pPr>
        <w:ind w:left="6828" w:hanging="360"/>
      </w:pPr>
      <w:rPr>
        <w:rFonts w:ascii="Wingdings" w:hAnsi="Wingdings" w:hint="default"/>
      </w:rPr>
    </w:lvl>
  </w:abstractNum>
  <w:abstractNum w:abstractNumId="1" w15:restartNumberingAfterBreak="0">
    <w:nsid w:val="793B2E35"/>
    <w:multiLevelType w:val="hybridMultilevel"/>
    <w:tmpl w:val="F962A85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1C5"/>
    <w:rsid w:val="00AA16C1"/>
    <w:rsid w:val="00AB01C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EA25F"/>
  <w15:chartTrackingRefBased/>
  <w15:docId w15:val="{D6B98DB7-31EE-484C-BBB8-2DFF1F5CA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1C5"/>
    <w:pPr>
      <w:spacing w:before="240" w:after="245" w:line="360" w:lineRule="auto"/>
      <w:ind w:left="10" w:right="4" w:hanging="10"/>
    </w:pPr>
    <w:rPr>
      <w:rFonts w:ascii="Georgia" w:hAnsi="Georgia" w:cs="Times New Roman"/>
      <w:color w:val="00000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AB01C5"/>
    <w:rPr>
      <w:color w:val="0563C1"/>
      <w:u w:val="single"/>
    </w:rPr>
  </w:style>
  <w:style w:type="paragraph" w:styleId="Listeavsnitt">
    <w:name w:val="List Paragraph"/>
    <w:basedOn w:val="Normal"/>
    <w:uiPriority w:val="34"/>
    <w:qFormat/>
    <w:rsid w:val="00AB01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35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vdata.no/lov/1989-06-02-27/kap5"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1384</Words>
  <Characters>7337</Characters>
  <Application>Microsoft Office Word</Application>
  <DocSecurity>0</DocSecurity>
  <Lines>61</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Finneid, Astrid</dc:creator>
  <cp:keywords/>
  <dc:description/>
  <cp:lastModifiedBy>Finneid, Astrid</cp:lastModifiedBy>
  <cp:revision>1</cp:revision>
  <dcterms:created xsi:type="dcterms:W3CDTF">2021-05-22T12:23:00Z</dcterms:created>
  <dcterms:modified xsi:type="dcterms:W3CDTF">2021-05-22T12:27:00Z</dcterms:modified>
</cp:coreProperties>
</file>