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907"/>
        <w:gridCol w:w="1761"/>
        <w:gridCol w:w="1761"/>
        <w:gridCol w:w="1761"/>
        <w:gridCol w:w="1761"/>
        <w:gridCol w:w="1761"/>
        <w:gridCol w:w="1761"/>
        <w:gridCol w:w="1761"/>
      </w:tblGrid>
      <w:tr>
        <w:tc>
          <w:tcPr>
            <w:tcW w:type="dxa" w:w="1761"/>
            <w:gridSpan w:val="9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32"/>
              </w:rPr>
              <w:t>Romsåshallen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Fra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Mandag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Tirsdag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Onsdag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Torsdag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Fredag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Lørdag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Søndag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11:00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11:30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Håndballkamper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11:30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12:00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Håndballkamper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12:00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12:30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Håndballkamper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12:30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13:00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13:00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13:30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13:30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14:00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14:00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14:30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14:30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15:00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15:00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15:30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15:30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16:00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G2014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16:00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16:30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G2014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16:30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17:00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G2017/J2016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17:00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17:30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G2017/J2016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UEFA/Barnehage/J2018/G2018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17:30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18:00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G2017/J2016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UEFA (J2019–J2021)/Barnehage/G2019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G2012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18:00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18:30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G2012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18:30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19:00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SKA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G2012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19:00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19:30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SKA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Oldboys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19:30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20:00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SKA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Oldboys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20:00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20:30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SKA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Oldboys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MSA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20:30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21:00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Gåfotball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Oldboys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MSA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21:00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21:30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Gåfotball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MSA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21:30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Gåfotball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MSA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22:30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Gåfotball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Åpen hall</w:t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61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