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300" w:line="240"/>
        <w:ind w:right="0" w:left="0" w:firstLine="0"/>
        <w:jc w:val="left"/>
        <w:rPr>
          <w:rFonts w:ascii="Cambria" w:hAnsi="Cambria" w:cs="Cambria" w:eastAsia="Cambria"/>
          <w:color w:val="17365D"/>
          <w:spacing w:val="5"/>
          <w:position w:val="0"/>
          <w:sz w:val="52"/>
          <w:shd w:fill="auto" w:val="clear"/>
        </w:rPr>
      </w:pPr>
      <w:r>
        <w:rPr>
          <w:rFonts w:ascii="Cambria" w:hAnsi="Cambria" w:cs="Cambria" w:eastAsia="Cambria"/>
          <w:color w:val="17365D"/>
          <w:spacing w:val="5"/>
          <w:position w:val="0"/>
          <w:sz w:val="52"/>
          <w:shd w:fill="auto" w:val="clear"/>
        </w:rPr>
        <w:t xml:space="preserve">Statutter - Klubbmesterskap dressur – AGR, gjelder fra 2015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Klubbmesterskapet i dressur arrangeres hvert år.  Mesterskapet arrangeres som et nivåmesterskap. Det er ingen kvalifiseringskrav for start i mesterskapet, men rytter må være medlem i AGR.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Det arrangeres følgende nivåmesterskap: LC, LB og LA.   Mesterskap i MB arrangeres etter behov.  Hver rytter kan kun delta i ett mesterskap, og må før første start oppgi hvilket mesterskap man ønsker å delta i. Det er anledning til å starte de øvrige klassene, dersom det er kapasitet til det.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Mesterskapet kan arrangeres som distriktsstevne med innlagt klubbmesterskap.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For at det skal være mesterskapsklasse, må minimum 3 ryttere starte i klassen. Ved 3 startende deles det ut gull og sølvmedalje.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Ved minst tre deltakende ponni-ekvipasjer i en klasse, kan der oprettes egen ponniklasse.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Premiering og antall plasserte i hver klasse skal være  iht. til KRI.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Nivåmesterskap: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Klubbmesterskap klasse LC: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Åpen for ekvipasjer som ikke har ridd LB eller høyere på distriktsstevne til over 60%, 2 ganger inneværende år.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Klubbmesterskap klasse LB: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Åpen for ekvipasjer som ikke har ridd LA på distrikts- eller landstevne til over 60 %, 2 ganger i løpet av inneværende år.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Klubbmesterskap klasse LA: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Åpen for ekvipasjer som ikke har ridd  MB  programmer eller høyere på distrikts-, lands- eller elitestevne til over 60% 2 ganger i løpet av inneværende år.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Ved spørsmål som ikke er avklart i statuttene, henvises det til KR I (Generelt konkurransereglement)  og KR IV (Dressur).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